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3F7" w:rsidRDefault="004B73F7" w:rsidP="004B73F7">
      <w:pPr>
        <w:rPr>
          <w:b/>
          <w:sz w:val="28"/>
        </w:rPr>
      </w:pPr>
      <w:r>
        <w:rPr>
          <w:b/>
          <w:sz w:val="28"/>
        </w:rPr>
        <w:t>Buckminster Primary School</w:t>
      </w:r>
    </w:p>
    <w:p w:rsidR="004B73F7" w:rsidRDefault="004B73F7" w:rsidP="004B73F7">
      <w:pPr>
        <w:rPr>
          <w:b/>
          <w:sz w:val="28"/>
        </w:rPr>
      </w:pPr>
      <w:r>
        <w:rPr>
          <w:b/>
          <w:sz w:val="28"/>
        </w:rPr>
        <w:t xml:space="preserve">Key Stage 2 </w:t>
      </w:r>
      <w:r>
        <w:rPr>
          <w:b/>
          <w:sz w:val="28"/>
        </w:rPr>
        <w:t>SATs Results for 2021/22</w:t>
      </w:r>
    </w:p>
    <w:p w:rsidR="004B73F7" w:rsidRPr="00386A85" w:rsidRDefault="004B73F7" w:rsidP="004B73F7">
      <w:pPr>
        <w:rPr>
          <w:b/>
          <w:bCs/>
          <w:sz w:val="28"/>
          <w:szCs w:val="28"/>
          <w:lang w:val="en-US"/>
        </w:rPr>
      </w:pPr>
      <w:r w:rsidRPr="004B73F7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437515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3F7" w:rsidRDefault="004B73F7">
                            <w:r w:rsidRPr="004B73F7">
                              <w:rPr>
                                <w:b/>
                              </w:rPr>
                              <w:t>EXS</w:t>
                            </w:r>
                            <w:r>
                              <w:t xml:space="preserve"> = Children reaching expected standard </w:t>
                            </w:r>
                          </w:p>
                          <w:p w:rsidR="004B73F7" w:rsidRDefault="004B73F7">
                            <w:r w:rsidRPr="004B73F7">
                              <w:rPr>
                                <w:b/>
                              </w:rPr>
                              <w:t>GDS</w:t>
                            </w:r>
                            <w:r>
                              <w:t xml:space="preserve"> = Children reaching a greater depth standard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5.65pt;margin-top:34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De8/SS3gAAAAoBAAAPAAAAAAAAAAAAAAAAAH8EAABkcnMvZG93&#10;bnJldi54bWxQSwUGAAAAAAQABADzAAAAigUAAAAA&#10;">
                <v:textbox style="mso-fit-shape-to-text:t">
                  <w:txbxContent>
                    <w:p w:rsidR="004B73F7" w:rsidRDefault="004B73F7">
                      <w:r w:rsidRPr="004B73F7">
                        <w:rPr>
                          <w:b/>
                        </w:rPr>
                        <w:t>EXS</w:t>
                      </w:r>
                      <w:r>
                        <w:t xml:space="preserve"> = Children reaching expected standard </w:t>
                      </w:r>
                    </w:p>
                    <w:p w:rsidR="004B73F7" w:rsidRDefault="004B73F7">
                      <w:r w:rsidRPr="004B73F7">
                        <w:rPr>
                          <w:b/>
                        </w:rPr>
                        <w:t>GDS</w:t>
                      </w:r>
                      <w:r>
                        <w:t xml:space="preserve"> = Children reaching a greater depth standard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86A85">
        <w:rPr>
          <w:b/>
          <w:bCs/>
          <w:sz w:val="28"/>
          <w:szCs w:val="28"/>
          <w:lang w:val="en-US"/>
        </w:rPr>
        <w:t xml:space="preserve">Reading </w:t>
      </w:r>
      <w:r w:rsidRPr="006922B2">
        <w:rPr>
          <w:b/>
          <w:bCs/>
          <w:sz w:val="28"/>
          <w:szCs w:val="28"/>
          <w:lang w:val="en-US"/>
        </w:rPr>
        <w:t>(</w:t>
      </w:r>
      <w:r>
        <w:rPr>
          <w:b/>
          <w:bCs/>
          <w:sz w:val="28"/>
          <w:szCs w:val="28"/>
          <w:lang w:val="en-US"/>
        </w:rPr>
        <w:t>EXS</w:t>
      </w:r>
      <w:r w:rsidRPr="006922B2">
        <w:rPr>
          <w:b/>
          <w:bCs/>
          <w:sz w:val="28"/>
          <w:szCs w:val="28"/>
          <w:lang w:val="en-US"/>
        </w:rPr>
        <w:t xml:space="preserve"> including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275"/>
        <w:gridCol w:w="1156"/>
        <w:gridCol w:w="1296"/>
        <w:gridCol w:w="1270"/>
      </w:tblGrid>
      <w:tr w:rsidR="004B73F7" w:rsidTr="004B73F7">
        <w:tc>
          <w:tcPr>
            <w:tcW w:w="626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156" w:type="dxa"/>
          </w:tcPr>
          <w:p w:rsidR="004B73F7" w:rsidRPr="0060494C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2018</w:t>
            </w:r>
            <w:r>
              <w:rPr>
                <w:lang w:val="en-US"/>
              </w:rPr>
              <w:t xml:space="preserve">  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2019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2022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D8400A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  <w:shd w:val="clear" w:color="auto" w:fill="auto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94.7%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82.4%</w:t>
            </w:r>
          </w:p>
        </w:tc>
        <w:tc>
          <w:tcPr>
            <w:tcW w:w="1270" w:type="dxa"/>
            <w:shd w:val="clear" w:color="auto" w:fill="92D050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88.9%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D8400A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75.3%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73.2%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74.5%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D8400A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76.3%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74.7%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77.1%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D8400A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GDS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47.4%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35.3%</w:t>
            </w:r>
          </w:p>
        </w:tc>
        <w:tc>
          <w:tcPr>
            <w:tcW w:w="1270" w:type="dxa"/>
            <w:shd w:val="clear" w:color="auto" w:fill="92D050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77.8%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28.1%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26.9%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27.8%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27.2%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28.1%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29%</w:t>
            </w:r>
          </w:p>
        </w:tc>
      </w:tr>
    </w:tbl>
    <w:p w:rsidR="004B73F7" w:rsidRDefault="004B73F7" w:rsidP="004B73F7">
      <w:pPr>
        <w:rPr>
          <w:b/>
          <w:bCs/>
          <w:sz w:val="28"/>
          <w:szCs w:val="28"/>
          <w:lang w:val="en-US"/>
        </w:rPr>
      </w:pPr>
    </w:p>
    <w:p w:rsidR="004B73F7" w:rsidRPr="00386A85" w:rsidRDefault="004B73F7" w:rsidP="004B73F7">
      <w:pPr>
        <w:rPr>
          <w:b/>
          <w:bCs/>
          <w:sz w:val="28"/>
          <w:szCs w:val="28"/>
          <w:lang w:val="en-US"/>
        </w:rPr>
      </w:pPr>
      <w:r w:rsidRPr="00386A85">
        <w:rPr>
          <w:b/>
          <w:bCs/>
          <w:sz w:val="28"/>
          <w:szCs w:val="28"/>
          <w:lang w:val="en-US"/>
        </w:rPr>
        <w:t xml:space="preserve">Writing </w:t>
      </w:r>
      <w:r w:rsidRPr="006922B2">
        <w:rPr>
          <w:b/>
          <w:bCs/>
          <w:sz w:val="28"/>
          <w:szCs w:val="28"/>
          <w:lang w:val="en-US"/>
        </w:rPr>
        <w:t>(EX</w:t>
      </w:r>
      <w:r>
        <w:rPr>
          <w:b/>
          <w:bCs/>
          <w:sz w:val="28"/>
          <w:szCs w:val="28"/>
          <w:lang w:val="en-US"/>
        </w:rPr>
        <w:t>S</w:t>
      </w:r>
      <w:r w:rsidRPr="006922B2">
        <w:rPr>
          <w:b/>
          <w:bCs/>
          <w:sz w:val="28"/>
          <w:szCs w:val="28"/>
          <w:lang w:val="en-US"/>
        </w:rPr>
        <w:t xml:space="preserve"> including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275"/>
        <w:gridCol w:w="1156"/>
        <w:gridCol w:w="1296"/>
        <w:gridCol w:w="1270"/>
      </w:tblGrid>
      <w:tr w:rsidR="004B73F7" w:rsidTr="004B73F7">
        <w:tc>
          <w:tcPr>
            <w:tcW w:w="626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2018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2019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2022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386A85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  <w:shd w:val="clear" w:color="auto" w:fill="auto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78.9%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94.1%</w:t>
            </w:r>
          </w:p>
        </w:tc>
        <w:tc>
          <w:tcPr>
            <w:tcW w:w="1270" w:type="dxa"/>
            <w:shd w:val="clear" w:color="auto" w:fill="92D050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77.8%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386A85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78.3%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78.5%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69.5%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386A85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80.1%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81.3%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71.8%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386A85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GDS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10.5%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35.3%</w:t>
            </w:r>
          </w:p>
        </w:tc>
        <w:tc>
          <w:tcPr>
            <w:tcW w:w="1270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19.9%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20.2%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12.8%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21.2%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21.8%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13.6%</w:t>
            </w:r>
          </w:p>
        </w:tc>
      </w:tr>
    </w:tbl>
    <w:p w:rsidR="004B73F7" w:rsidRDefault="004B73F7" w:rsidP="004B73F7">
      <w:pPr>
        <w:rPr>
          <w:b/>
          <w:bCs/>
          <w:sz w:val="28"/>
          <w:szCs w:val="28"/>
          <w:lang w:val="en-US"/>
        </w:rPr>
      </w:pPr>
    </w:p>
    <w:p w:rsidR="004B73F7" w:rsidRDefault="004B73F7" w:rsidP="004B73F7">
      <w:pPr>
        <w:rPr>
          <w:b/>
          <w:bCs/>
          <w:lang w:val="en-US"/>
        </w:rPr>
      </w:pPr>
      <w:r w:rsidRPr="00B4584B">
        <w:rPr>
          <w:b/>
          <w:bCs/>
          <w:sz w:val="28"/>
          <w:szCs w:val="28"/>
          <w:lang w:val="en-US"/>
        </w:rPr>
        <w:t>Grammar, Punctuation and Spelling</w:t>
      </w:r>
      <w:r>
        <w:rPr>
          <w:b/>
          <w:bCs/>
          <w:lang w:val="en-US"/>
        </w:rPr>
        <w:t xml:space="preserve"> </w:t>
      </w:r>
      <w:r w:rsidRPr="006922B2">
        <w:rPr>
          <w:b/>
          <w:bCs/>
          <w:sz w:val="28"/>
          <w:szCs w:val="28"/>
          <w:lang w:val="en-US"/>
        </w:rPr>
        <w:t>(EX</w:t>
      </w:r>
      <w:r>
        <w:rPr>
          <w:b/>
          <w:bCs/>
          <w:sz w:val="28"/>
          <w:szCs w:val="28"/>
          <w:lang w:val="en-US"/>
        </w:rPr>
        <w:t>S</w:t>
      </w:r>
      <w:r w:rsidRPr="006922B2">
        <w:rPr>
          <w:b/>
          <w:bCs/>
          <w:sz w:val="28"/>
          <w:szCs w:val="28"/>
          <w:lang w:val="en-US"/>
        </w:rPr>
        <w:t xml:space="preserve"> including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275"/>
        <w:gridCol w:w="1156"/>
        <w:gridCol w:w="1296"/>
        <w:gridCol w:w="1226"/>
      </w:tblGrid>
      <w:tr w:rsidR="004B73F7" w:rsidTr="004B73F7">
        <w:tc>
          <w:tcPr>
            <w:tcW w:w="626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2018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2019</w:t>
            </w:r>
          </w:p>
        </w:tc>
        <w:tc>
          <w:tcPr>
            <w:tcW w:w="122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2022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78.9%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76.6</w:t>
            </w:r>
          </w:p>
        </w:tc>
        <w:tc>
          <w:tcPr>
            <w:tcW w:w="122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77.8%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77.7%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78%</w:t>
            </w:r>
          </w:p>
        </w:tc>
        <w:tc>
          <w:tcPr>
            <w:tcW w:w="122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72.5%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78.9%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80.2%</w:t>
            </w:r>
          </w:p>
        </w:tc>
        <w:tc>
          <w:tcPr>
            <w:tcW w:w="122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74.7%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GDS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57.9%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29.4%</w:t>
            </w:r>
          </w:p>
        </w:tc>
        <w:tc>
          <w:tcPr>
            <w:tcW w:w="1226" w:type="dxa"/>
            <w:shd w:val="clear" w:color="auto" w:fill="92D050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44.4%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34.4%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35.7%</w:t>
            </w:r>
          </w:p>
        </w:tc>
        <w:tc>
          <w:tcPr>
            <w:tcW w:w="122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28.3%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33.7%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36.5%</w:t>
            </w:r>
          </w:p>
        </w:tc>
        <w:tc>
          <w:tcPr>
            <w:tcW w:w="122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29.4%</w:t>
            </w:r>
          </w:p>
        </w:tc>
      </w:tr>
    </w:tbl>
    <w:p w:rsidR="004B73F7" w:rsidRDefault="004B73F7" w:rsidP="004B73F7">
      <w:pPr>
        <w:rPr>
          <w:b/>
          <w:bCs/>
          <w:sz w:val="28"/>
          <w:szCs w:val="28"/>
          <w:lang w:val="en-US"/>
        </w:rPr>
      </w:pPr>
    </w:p>
    <w:p w:rsidR="004B73F7" w:rsidRDefault="004B73F7" w:rsidP="004B73F7">
      <w:pPr>
        <w:rPr>
          <w:b/>
          <w:bCs/>
          <w:sz w:val="28"/>
          <w:szCs w:val="28"/>
          <w:lang w:val="en-US"/>
        </w:rPr>
      </w:pPr>
    </w:p>
    <w:p w:rsidR="004B73F7" w:rsidRDefault="004B73F7" w:rsidP="004B73F7">
      <w:pPr>
        <w:rPr>
          <w:b/>
          <w:bCs/>
          <w:sz w:val="28"/>
          <w:szCs w:val="28"/>
          <w:lang w:val="en-US"/>
        </w:rPr>
      </w:pPr>
    </w:p>
    <w:p w:rsidR="004B73F7" w:rsidRDefault="004B73F7" w:rsidP="004B73F7">
      <w:pPr>
        <w:rPr>
          <w:b/>
          <w:bCs/>
          <w:sz w:val="28"/>
          <w:szCs w:val="28"/>
          <w:lang w:val="en-US"/>
        </w:rPr>
      </w:pPr>
    </w:p>
    <w:p w:rsidR="004B73F7" w:rsidRDefault="004B73F7" w:rsidP="004B73F7">
      <w:pPr>
        <w:rPr>
          <w:b/>
          <w:bCs/>
          <w:lang w:val="en-US"/>
        </w:rPr>
      </w:pPr>
      <w:proofErr w:type="spellStart"/>
      <w:r w:rsidRPr="00B4584B">
        <w:rPr>
          <w:b/>
          <w:bCs/>
          <w:sz w:val="28"/>
          <w:szCs w:val="28"/>
          <w:lang w:val="en-US"/>
        </w:rPr>
        <w:t>Maths</w:t>
      </w:r>
      <w:proofErr w:type="spellEnd"/>
      <w:r w:rsidRPr="00B4584B">
        <w:rPr>
          <w:b/>
          <w:bCs/>
          <w:sz w:val="28"/>
          <w:szCs w:val="28"/>
          <w:lang w:val="en-US"/>
        </w:rPr>
        <w:t xml:space="preserve"> -</w:t>
      </w:r>
      <w:r>
        <w:rPr>
          <w:b/>
          <w:bCs/>
          <w:lang w:val="en-US"/>
        </w:rPr>
        <w:t xml:space="preserve"> </w:t>
      </w:r>
      <w:r w:rsidRPr="006922B2">
        <w:rPr>
          <w:b/>
          <w:bCs/>
          <w:sz w:val="28"/>
          <w:szCs w:val="28"/>
          <w:lang w:val="en-US"/>
        </w:rPr>
        <w:t>(EX</w:t>
      </w:r>
      <w:r>
        <w:rPr>
          <w:b/>
          <w:bCs/>
          <w:sz w:val="28"/>
          <w:szCs w:val="28"/>
          <w:lang w:val="en-US"/>
        </w:rPr>
        <w:t>S</w:t>
      </w:r>
      <w:r w:rsidRPr="006922B2">
        <w:rPr>
          <w:b/>
          <w:bCs/>
          <w:sz w:val="28"/>
          <w:szCs w:val="28"/>
          <w:lang w:val="en-US"/>
        </w:rPr>
        <w:t xml:space="preserve"> including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275"/>
        <w:gridCol w:w="1156"/>
        <w:gridCol w:w="1296"/>
        <w:gridCol w:w="1270"/>
      </w:tblGrid>
      <w:tr w:rsidR="004B73F7" w:rsidTr="004B73F7">
        <w:tc>
          <w:tcPr>
            <w:tcW w:w="626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2018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2019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2022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EXS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  <w:shd w:val="clear" w:color="auto" w:fill="auto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84.2%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70.9%</w:t>
            </w:r>
          </w:p>
        </w:tc>
        <w:tc>
          <w:tcPr>
            <w:tcW w:w="1270" w:type="dxa"/>
            <w:shd w:val="clear" w:color="auto" w:fill="92D050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88.9%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75.6%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78.7%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71.4%</w:t>
            </w:r>
          </w:p>
        </w:tc>
      </w:tr>
      <w:tr w:rsidR="004B73F7" w:rsidTr="004B73F7">
        <w:tc>
          <w:tcPr>
            <w:tcW w:w="626" w:type="dxa"/>
            <w:vMerge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76.6%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80.7%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74.9%</w:t>
            </w:r>
          </w:p>
        </w:tc>
      </w:tr>
      <w:tr w:rsidR="004B73F7" w:rsidTr="004B73F7">
        <w:tc>
          <w:tcPr>
            <w:tcW w:w="626" w:type="dxa"/>
            <w:vMerge w:val="restart"/>
            <w:textDirection w:val="btLr"/>
          </w:tcPr>
          <w:p w:rsidR="004B73F7" w:rsidRPr="00B4584B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GDS</w:t>
            </w: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5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31.6%</w:t>
            </w:r>
          </w:p>
        </w:tc>
        <w:tc>
          <w:tcPr>
            <w:tcW w:w="1296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35.3%</w:t>
            </w:r>
          </w:p>
        </w:tc>
        <w:tc>
          <w:tcPr>
            <w:tcW w:w="1270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22.2%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23.6%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26.6%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22.5%</w:t>
            </w:r>
          </w:p>
        </w:tc>
      </w:tr>
      <w:tr w:rsidR="004B73F7" w:rsidTr="004B73F7">
        <w:tc>
          <w:tcPr>
            <w:tcW w:w="626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5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5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23.6%</w:t>
            </w:r>
          </w:p>
        </w:tc>
        <w:tc>
          <w:tcPr>
            <w:tcW w:w="1296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28.8%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24.6</w:t>
            </w:r>
          </w:p>
        </w:tc>
      </w:tr>
    </w:tbl>
    <w:p w:rsidR="004B73F7" w:rsidRDefault="004B73F7" w:rsidP="004B73F7">
      <w:pPr>
        <w:rPr>
          <w:b/>
          <w:bCs/>
          <w:lang w:val="en-US"/>
        </w:rPr>
      </w:pPr>
    </w:p>
    <w:p w:rsidR="004B73F7" w:rsidRDefault="004B73F7" w:rsidP="004B73F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KS2 Children making expected or better across reading, writing and </w:t>
      </w:r>
      <w:proofErr w:type="spellStart"/>
      <w:r>
        <w:rPr>
          <w:b/>
          <w:bCs/>
          <w:lang w:val="en-US"/>
        </w:rPr>
        <w:t>maths</w:t>
      </w:r>
      <w:proofErr w:type="spellEnd"/>
      <w:r>
        <w:rPr>
          <w:b/>
          <w:bCs/>
          <w:lang w:val="en-US"/>
        </w:rPr>
        <w:t xml:space="preserve"> (RWM) for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1270"/>
        <w:gridCol w:w="1149"/>
        <w:gridCol w:w="1162"/>
        <w:gridCol w:w="1330"/>
      </w:tblGrid>
      <w:tr w:rsidR="004B73F7" w:rsidTr="004B73F7">
        <w:tc>
          <w:tcPr>
            <w:tcW w:w="747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149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2018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162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2019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330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2022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</w:tr>
      <w:tr w:rsidR="004B73F7" w:rsidTr="004B73F7">
        <w:tc>
          <w:tcPr>
            <w:tcW w:w="747" w:type="dxa"/>
            <w:vMerge w:val="restart"/>
            <w:textDirection w:val="btLr"/>
          </w:tcPr>
          <w:p w:rsidR="004B73F7" w:rsidRPr="00D80A71" w:rsidRDefault="004B73F7" w:rsidP="00FF48AC">
            <w:pPr>
              <w:ind w:left="113" w:right="113"/>
              <w:rPr>
                <w:b/>
                <w:bCs/>
                <w:sz w:val="20"/>
                <w:szCs w:val="20"/>
                <w:lang w:val="en-US"/>
              </w:rPr>
            </w:pPr>
            <w:bookmarkStart w:id="0" w:name="_GoBack" w:colFirst="4" w:colLast="4"/>
            <w:r>
              <w:rPr>
                <w:b/>
                <w:bCs/>
                <w:sz w:val="20"/>
                <w:szCs w:val="20"/>
                <w:lang w:val="en-US"/>
              </w:rPr>
              <w:t>RWM</w:t>
            </w: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School</w:t>
            </w:r>
          </w:p>
        </w:tc>
        <w:tc>
          <w:tcPr>
            <w:tcW w:w="1149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78.9%</w:t>
            </w:r>
          </w:p>
        </w:tc>
        <w:tc>
          <w:tcPr>
            <w:tcW w:w="1162" w:type="dxa"/>
            <w:shd w:val="clear" w:color="auto" w:fill="FFFFFF" w:themeFill="background1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64.7%</w:t>
            </w:r>
          </w:p>
        </w:tc>
        <w:tc>
          <w:tcPr>
            <w:tcW w:w="1330" w:type="dxa"/>
            <w:shd w:val="clear" w:color="auto" w:fill="92D050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77.8%</w:t>
            </w:r>
          </w:p>
        </w:tc>
      </w:tr>
      <w:bookmarkEnd w:id="0"/>
      <w:tr w:rsidR="004B73F7" w:rsidTr="004B73F7">
        <w:tc>
          <w:tcPr>
            <w:tcW w:w="747" w:type="dxa"/>
            <w:vMerge/>
            <w:textDirection w:val="btLr"/>
          </w:tcPr>
          <w:p w:rsidR="004B73F7" w:rsidRPr="002A6C91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:rsidR="004B73F7" w:rsidRDefault="004B73F7" w:rsidP="00FF48AC">
            <w:pPr>
              <w:rPr>
                <w:lang w:val="en-US"/>
              </w:rPr>
            </w:pPr>
            <w:r w:rsidRPr="00117A39">
              <w:rPr>
                <w:b/>
                <w:bCs/>
                <w:lang w:val="en-US"/>
              </w:rPr>
              <w:t>National</w:t>
            </w:r>
          </w:p>
        </w:tc>
        <w:tc>
          <w:tcPr>
            <w:tcW w:w="1149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64.4%</w:t>
            </w:r>
          </w:p>
        </w:tc>
        <w:tc>
          <w:tcPr>
            <w:tcW w:w="1162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64.9%</w:t>
            </w:r>
          </w:p>
        </w:tc>
        <w:tc>
          <w:tcPr>
            <w:tcW w:w="133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58.7%</w:t>
            </w:r>
          </w:p>
        </w:tc>
      </w:tr>
      <w:tr w:rsidR="004B73F7" w:rsidTr="004B73F7">
        <w:tc>
          <w:tcPr>
            <w:tcW w:w="747" w:type="dxa"/>
            <w:vMerge/>
            <w:textDirection w:val="btLr"/>
          </w:tcPr>
          <w:p w:rsidR="004B73F7" w:rsidRPr="002A6C91" w:rsidRDefault="004B73F7" w:rsidP="00FF48AC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270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LA</w:t>
            </w:r>
          </w:p>
        </w:tc>
        <w:tc>
          <w:tcPr>
            <w:tcW w:w="1149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65.3%</w:t>
            </w:r>
          </w:p>
        </w:tc>
        <w:tc>
          <w:tcPr>
            <w:tcW w:w="1162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66.8%%</w:t>
            </w:r>
          </w:p>
        </w:tc>
        <w:tc>
          <w:tcPr>
            <w:tcW w:w="1330" w:type="dxa"/>
          </w:tcPr>
          <w:p w:rsidR="004B73F7" w:rsidRDefault="004B73F7" w:rsidP="00FF48AC">
            <w:pPr>
              <w:rPr>
                <w:lang w:val="en-US"/>
              </w:rPr>
            </w:pPr>
            <w:r>
              <w:rPr>
                <w:lang w:val="en-US"/>
              </w:rPr>
              <w:t>61.9%</w:t>
            </w:r>
          </w:p>
        </w:tc>
      </w:tr>
      <w:tr w:rsidR="004B73F7" w:rsidTr="004B73F7">
        <w:tc>
          <w:tcPr>
            <w:tcW w:w="747" w:type="dxa"/>
            <w:vMerge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270" w:type="dxa"/>
          </w:tcPr>
          <w:p w:rsidR="004B73F7" w:rsidRPr="00117A39" w:rsidRDefault="004B73F7" w:rsidP="00FF48AC">
            <w:pPr>
              <w:rPr>
                <w:b/>
                <w:bCs/>
                <w:lang w:val="en-US"/>
              </w:rPr>
            </w:pPr>
          </w:p>
        </w:tc>
        <w:tc>
          <w:tcPr>
            <w:tcW w:w="1149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162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  <w:tc>
          <w:tcPr>
            <w:tcW w:w="1330" w:type="dxa"/>
          </w:tcPr>
          <w:p w:rsidR="004B73F7" w:rsidRDefault="004B73F7" w:rsidP="00FF48AC">
            <w:pPr>
              <w:rPr>
                <w:lang w:val="en-US"/>
              </w:rPr>
            </w:pPr>
          </w:p>
        </w:tc>
      </w:tr>
    </w:tbl>
    <w:p w:rsidR="004B73F7" w:rsidRDefault="004B73F7" w:rsidP="004B73F7">
      <w:pPr>
        <w:rPr>
          <w:b/>
          <w:bCs/>
          <w:lang w:val="en-US"/>
        </w:rPr>
      </w:pPr>
    </w:p>
    <w:p w:rsidR="004B73F7" w:rsidRDefault="004B73F7" w:rsidP="004B73F7">
      <w:pPr>
        <w:rPr>
          <w:b/>
          <w:bCs/>
          <w:lang w:val="en-US"/>
        </w:rPr>
      </w:pPr>
    </w:p>
    <w:p w:rsidR="004B73F7" w:rsidRDefault="004B73F7" w:rsidP="004B73F7">
      <w:pPr>
        <w:rPr>
          <w:b/>
          <w:bCs/>
          <w:lang w:val="en-US"/>
        </w:rPr>
      </w:pPr>
    </w:p>
    <w:p w:rsidR="00E05B65" w:rsidRDefault="00E05B65"/>
    <w:sectPr w:rsidR="00E05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F7"/>
    <w:rsid w:val="004B73F7"/>
    <w:rsid w:val="008F1212"/>
    <w:rsid w:val="00E0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4D11A"/>
  <w15:chartTrackingRefBased/>
  <w15:docId w15:val="{12A1D235-2D46-424D-9ED9-31E5009A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3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2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21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121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212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F121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8F121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F1212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8F1212"/>
    <w:rPr>
      <w:rFonts w:eastAsia="Times New Roman"/>
      <w:b/>
      <w:bCs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8F1212"/>
    <w:pPr>
      <w:spacing w:after="200" w:line="276" w:lineRule="auto"/>
    </w:pPr>
    <w:rPr>
      <w:rFonts w:ascii="Calibri" w:eastAsia="Calibri" w:hAnsi="Calibri" w:cs="Times New Roman"/>
      <w:b/>
      <w:bCs/>
      <w:sz w:val="20"/>
      <w:szCs w:val="20"/>
    </w:rPr>
  </w:style>
  <w:style w:type="character" w:styleId="Strong">
    <w:name w:val="Strong"/>
    <w:uiPriority w:val="22"/>
    <w:qFormat/>
    <w:rsid w:val="008F1212"/>
    <w:rPr>
      <w:b/>
      <w:bCs/>
    </w:rPr>
  </w:style>
  <w:style w:type="character" w:styleId="Emphasis">
    <w:name w:val="Emphasis"/>
    <w:uiPriority w:val="20"/>
    <w:qFormat/>
    <w:rsid w:val="008F1212"/>
    <w:rPr>
      <w:i/>
      <w:iCs/>
    </w:rPr>
  </w:style>
  <w:style w:type="paragraph" w:styleId="NoSpacing">
    <w:name w:val="No Spacing"/>
    <w:uiPriority w:val="1"/>
    <w:qFormat/>
    <w:rsid w:val="008F121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F121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8F1212"/>
    <w:pPr>
      <w:spacing w:after="200" w:line="276" w:lineRule="auto"/>
    </w:pPr>
    <w:rPr>
      <w:rFonts w:ascii="Calibri" w:eastAsia="Calibri" w:hAnsi="Calibri"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8F1212"/>
    <w:rPr>
      <w:i/>
      <w:iCs/>
      <w:color w:val="000000"/>
      <w:sz w:val="22"/>
      <w:szCs w:val="22"/>
    </w:rPr>
  </w:style>
  <w:style w:type="character" w:styleId="SubtleEmphasis">
    <w:name w:val="Subtle Emphasis"/>
    <w:uiPriority w:val="19"/>
    <w:qFormat/>
    <w:rsid w:val="008F1212"/>
    <w:rPr>
      <w:i/>
      <w:iCs/>
      <w:color w:val="808080"/>
    </w:rPr>
  </w:style>
  <w:style w:type="character" w:styleId="IntenseReference">
    <w:name w:val="Intense Reference"/>
    <w:uiPriority w:val="32"/>
    <w:qFormat/>
    <w:rsid w:val="008F1212"/>
    <w:rPr>
      <w:b/>
      <w:bCs/>
      <w:smallCaps/>
      <w:color w:val="4472C4"/>
      <w:spacing w:val="5"/>
    </w:rPr>
  </w:style>
  <w:style w:type="table" w:styleId="TableGrid">
    <w:name w:val="Table Grid"/>
    <w:basedOn w:val="TableNormal"/>
    <w:uiPriority w:val="39"/>
    <w:rsid w:val="004B73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dc:description/>
  <cp:lastModifiedBy>Debbie Clarke</cp:lastModifiedBy>
  <cp:revision>1</cp:revision>
  <dcterms:created xsi:type="dcterms:W3CDTF">2022-09-21T11:58:00Z</dcterms:created>
  <dcterms:modified xsi:type="dcterms:W3CDTF">2022-09-21T12:03:00Z</dcterms:modified>
</cp:coreProperties>
</file>